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楷体" w:hAnsi="楷体" w:eastAsia="楷体" w:cs="楷体"/>
          <w:sz w:val="30"/>
          <w:szCs w:val="30"/>
          <w:lang w:eastAsia="zh-CN"/>
        </w:rPr>
      </w:pPr>
      <w:r>
        <w:rPr>
          <w:rFonts w:hint="eastAsia" w:ascii="楷体" w:hAnsi="楷体" w:eastAsia="楷体" w:cs="楷体"/>
          <w:sz w:val="30"/>
          <w:szCs w:val="30"/>
          <w:lang w:eastAsia="zh-CN"/>
        </w:rPr>
        <w:t>附件：</w:t>
      </w:r>
    </w:p>
    <w:p>
      <w:pPr>
        <w:jc w:val="center"/>
        <w:rPr>
          <w:rFonts w:hint="eastAsia" w:ascii="楷体" w:hAnsi="楷体" w:eastAsia="楷体" w:cs="楷体"/>
          <w:b/>
          <w:bCs/>
          <w:sz w:val="32"/>
          <w:szCs w:val="32"/>
          <w:lang w:val="en-US" w:eastAsia="zh-CN"/>
        </w:rPr>
      </w:pPr>
      <w:bookmarkStart w:id="0" w:name="_GoBack"/>
      <w:r>
        <w:rPr>
          <w:rFonts w:hint="eastAsia" w:ascii="楷体" w:hAnsi="楷体" w:eastAsia="楷体" w:cs="楷体"/>
          <w:b/>
          <w:bCs/>
          <w:sz w:val="32"/>
          <w:szCs w:val="32"/>
          <w:lang w:val="en-US" w:eastAsia="zh-CN"/>
        </w:rPr>
        <w:t>2021年校级教学改革研究项目申报遴选结果</w:t>
      </w:r>
    </w:p>
    <w:bookmarkEnd w:id="0"/>
    <w:tbl>
      <w:tblPr>
        <w:tblStyle w:val="5"/>
        <w:tblW w:w="9150" w:type="dxa"/>
        <w:tblInd w:w="-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6055"/>
        <w:gridCol w:w="1050"/>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trPr>
        <w:tc>
          <w:tcPr>
            <w:tcW w:w="777" w:type="dxa"/>
            <w:vAlign w:val="center"/>
          </w:tcPr>
          <w:p>
            <w:pPr>
              <w:jc w:val="center"/>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序号</w:t>
            </w:r>
          </w:p>
        </w:tc>
        <w:tc>
          <w:tcPr>
            <w:tcW w:w="6055" w:type="dxa"/>
            <w:vAlign w:val="center"/>
          </w:tcPr>
          <w:p>
            <w:pPr>
              <w:keepNext w:val="0"/>
              <w:keepLines w:val="0"/>
              <w:widowControl/>
              <w:suppressLineNumbers w:val="0"/>
              <w:jc w:val="center"/>
              <w:textAlignment w:val="center"/>
              <w:rPr>
                <w:rFonts w:hint="eastAsia" w:ascii="楷体" w:hAnsi="楷体" w:eastAsia="楷体" w:cs="楷体"/>
                <w:b/>
                <w:bCs/>
                <w:i w:val="0"/>
                <w:color w:val="000000"/>
                <w:kern w:val="0"/>
                <w:sz w:val="24"/>
                <w:szCs w:val="24"/>
                <w:u w:val="none"/>
                <w:lang w:val="en-US" w:eastAsia="zh-CN" w:bidi="ar"/>
              </w:rPr>
            </w:pPr>
            <w:r>
              <w:rPr>
                <w:rFonts w:hint="eastAsia" w:ascii="楷体" w:hAnsi="楷体" w:eastAsia="楷体" w:cs="楷体"/>
                <w:b/>
                <w:bCs/>
                <w:i w:val="0"/>
                <w:color w:val="000000"/>
                <w:kern w:val="0"/>
                <w:sz w:val="24"/>
                <w:szCs w:val="24"/>
                <w:u w:val="none"/>
                <w:lang w:val="en-US" w:eastAsia="zh-CN" w:bidi="ar"/>
              </w:rPr>
              <w:t>项目名称</w:t>
            </w:r>
          </w:p>
        </w:tc>
        <w:tc>
          <w:tcPr>
            <w:tcW w:w="1050" w:type="dxa"/>
            <w:vAlign w:val="center"/>
          </w:tcPr>
          <w:p>
            <w:pPr>
              <w:keepNext w:val="0"/>
              <w:keepLines w:val="0"/>
              <w:widowControl/>
              <w:suppressLineNumbers w:val="0"/>
              <w:jc w:val="center"/>
              <w:textAlignment w:val="center"/>
              <w:rPr>
                <w:rFonts w:hint="eastAsia" w:ascii="楷体" w:hAnsi="楷体" w:eastAsia="楷体" w:cs="楷体"/>
                <w:b/>
                <w:bCs/>
                <w:i w:val="0"/>
                <w:color w:val="000000"/>
                <w:kern w:val="0"/>
                <w:sz w:val="24"/>
                <w:szCs w:val="24"/>
                <w:u w:val="none"/>
                <w:lang w:val="en-US" w:eastAsia="zh-CN" w:bidi="ar"/>
              </w:rPr>
            </w:pPr>
            <w:r>
              <w:rPr>
                <w:rFonts w:hint="eastAsia" w:ascii="楷体" w:hAnsi="楷体" w:eastAsia="楷体" w:cs="楷体"/>
                <w:b/>
                <w:bCs/>
                <w:i w:val="0"/>
                <w:color w:val="000000"/>
                <w:kern w:val="0"/>
                <w:sz w:val="24"/>
                <w:szCs w:val="24"/>
                <w:u w:val="none"/>
                <w:lang w:val="en-US" w:eastAsia="zh-CN" w:bidi="ar"/>
              </w:rPr>
              <w:t>姓名</w:t>
            </w:r>
          </w:p>
        </w:tc>
        <w:tc>
          <w:tcPr>
            <w:tcW w:w="1268" w:type="dxa"/>
            <w:vAlign w:val="center"/>
          </w:tcPr>
          <w:p>
            <w:pPr>
              <w:jc w:val="center"/>
              <w:rPr>
                <w:rFonts w:hint="eastAsia"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项目类别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pStyle w:val="2"/>
              <w:keepNext w:val="0"/>
              <w:keepLines w:val="0"/>
              <w:pageBreakBefore w:val="0"/>
              <w:kinsoku/>
              <w:wordWrap/>
              <w:overflowPunct/>
              <w:topLinePunct w:val="0"/>
              <w:autoSpaceDE/>
              <w:autoSpaceDN/>
              <w:bidi w:val="0"/>
              <w:adjustRightInd/>
              <w:snapToGrid w:val="0"/>
              <w:spacing w:line="240" w:lineRule="exact"/>
              <w:ind w:firstLine="0" w:firstLineChars="0"/>
              <w:jc w:val="center"/>
              <w:textAlignment w:val="auto"/>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lang w:val="en-US" w:eastAsia="zh-CN"/>
              </w:rPr>
              <w:t>1</w:t>
            </w:r>
          </w:p>
        </w:tc>
        <w:tc>
          <w:tcPr>
            <w:tcW w:w="6055" w:type="dxa"/>
            <w:vAlign w:val="center"/>
          </w:tcPr>
          <w:p>
            <w:pPr>
              <w:keepNext w:val="0"/>
              <w:keepLines w:val="0"/>
              <w:widowControl/>
              <w:suppressLineNumbers w:val="0"/>
              <w:jc w:val="left"/>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基于CDIO工程教育模式的土木专业力学课程教学改革</w:t>
            </w:r>
          </w:p>
        </w:tc>
        <w:tc>
          <w:tcPr>
            <w:tcW w:w="1050"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李  松</w:t>
            </w:r>
          </w:p>
        </w:tc>
        <w:tc>
          <w:tcPr>
            <w:tcW w:w="1268"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pStyle w:val="2"/>
              <w:snapToGrid w:val="0"/>
              <w:ind w:firstLine="0" w:firstLineChars="0"/>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lang w:val="en-US" w:eastAsia="zh-CN"/>
              </w:rPr>
              <w:t>2</w:t>
            </w:r>
          </w:p>
        </w:tc>
        <w:tc>
          <w:tcPr>
            <w:tcW w:w="6055" w:type="dxa"/>
            <w:vAlign w:val="center"/>
          </w:tcPr>
          <w:p>
            <w:pPr>
              <w:keepNext w:val="0"/>
              <w:keepLines w:val="0"/>
              <w:widowControl/>
              <w:suppressLineNumbers w:val="0"/>
              <w:jc w:val="left"/>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基于“三创”能力培养的工程训练教学改革研究与实践</w:t>
            </w:r>
          </w:p>
        </w:tc>
        <w:tc>
          <w:tcPr>
            <w:tcW w:w="1050"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罗  哲</w:t>
            </w:r>
          </w:p>
        </w:tc>
        <w:tc>
          <w:tcPr>
            <w:tcW w:w="1268"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pStyle w:val="2"/>
              <w:snapToGrid w:val="0"/>
              <w:ind w:firstLine="0" w:firstLineChars="0"/>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lang w:val="en-US" w:eastAsia="zh-CN"/>
              </w:rPr>
              <w:t>3</w:t>
            </w:r>
          </w:p>
        </w:tc>
        <w:tc>
          <w:tcPr>
            <w:tcW w:w="6055" w:type="dxa"/>
            <w:vAlign w:val="center"/>
          </w:tcPr>
          <w:p>
            <w:pPr>
              <w:keepNext w:val="0"/>
              <w:keepLines w:val="0"/>
              <w:widowControl/>
              <w:suppressLineNumbers w:val="0"/>
              <w:jc w:val="left"/>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“学、赛、研、创”视域下的《湖南传统民居》美育教学改革与实践</w:t>
            </w:r>
          </w:p>
        </w:tc>
        <w:tc>
          <w:tcPr>
            <w:tcW w:w="1050"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李玉杰</w:t>
            </w:r>
          </w:p>
        </w:tc>
        <w:tc>
          <w:tcPr>
            <w:tcW w:w="1268"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pStyle w:val="2"/>
              <w:snapToGrid w:val="0"/>
              <w:ind w:firstLine="0" w:firstLineChars="0"/>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lang w:val="en-US" w:eastAsia="zh-CN"/>
              </w:rPr>
              <w:t>4</w:t>
            </w:r>
          </w:p>
        </w:tc>
        <w:tc>
          <w:tcPr>
            <w:tcW w:w="6055" w:type="dxa"/>
            <w:vAlign w:val="center"/>
          </w:tcPr>
          <w:p>
            <w:pPr>
              <w:keepNext w:val="0"/>
              <w:keepLines w:val="0"/>
              <w:widowControl/>
              <w:suppressLineNumbers w:val="0"/>
              <w:jc w:val="left"/>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课程思政理念下《互联网金融》课程教学改革实践研究--以湖南科技学院为例</w:t>
            </w:r>
          </w:p>
        </w:tc>
        <w:tc>
          <w:tcPr>
            <w:tcW w:w="1050"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周晓娟</w:t>
            </w:r>
          </w:p>
        </w:tc>
        <w:tc>
          <w:tcPr>
            <w:tcW w:w="1268"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pStyle w:val="2"/>
              <w:snapToGrid w:val="0"/>
              <w:ind w:firstLine="0" w:firstLineChars="0"/>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lang w:val="en-US" w:eastAsia="zh-CN"/>
              </w:rPr>
              <w:t>5</w:t>
            </w:r>
          </w:p>
        </w:tc>
        <w:tc>
          <w:tcPr>
            <w:tcW w:w="6055" w:type="dxa"/>
            <w:vAlign w:val="center"/>
          </w:tcPr>
          <w:p>
            <w:pPr>
              <w:keepNext w:val="0"/>
              <w:keepLines w:val="0"/>
              <w:widowControl/>
              <w:suppressLineNumbers w:val="0"/>
              <w:jc w:val="left"/>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工程教育认证背景下通信工程专业课程体系建设与毕业机制研究</w:t>
            </w:r>
          </w:p>
        </w:tc>
        <w:tc>
          <w:tcPr>
            <w:tcW w:w="1050"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黄堂森</w:t>
            </w:r>
          </w:p>
        </w:tc>
        <w:tc>
          <w:tcPr>
            <w:tcW w:w="1268"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pStyle w:val="2"/>
              <w:snapToGrid w:val="0"/>
              <w:ind w:firstLine="0" w:firstLineChars="0"/>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lang w:val="en-US" w:eastAsia="zh-CN"/>
              </w:rPr>
              <w:t>6</w:t>
            </w:r>
          </w:p>
        </w:tc>
        <w:tc>
          <w:tcPr>
            <w:tcW w:w="6055" w:type="dxa"/>
            <w:vAlign w:val="center"/>
          </w:tcPr>
          <w:p>
            <w:pPr>
              <w:keepNext w:val="0"/>
              <w:keepLines w:val="0"/>
              <w:widowControl/>
              <w:suppressLineNumbers w:val="0"/>
              <w:jc w:val="left"/>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“淘宝式教学”模式和虚拟仿真技术在电子类实验课程的应用研究</w:t>
            </w:r>
          </w:p>
        </w:tc>
        <w:tc>
          <w:tcPr>
            <w:tcW w:w="1050"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潘学文</w:t>
            </w:r>
          </w:p>
        </w:tc>
        <w:tc>
          <w:tcPr>
            <w:tcW w:w="1268"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pStyle w:val="2"/>
              <w:snapToGrid w:val="0"/>
              <w:ind w:firstLine="0" w:firstLineChars="0"/>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lang w:val="en-US" w:eastAsia="zh-CN"/>
              </w:rPr>
              <w:t>7</w:t>
            </w:r>
          </w:p>
        </w:tc>
        <w:tc>
          <w:tcPr>
            <w:tcW w:w="6055" w:type="dxa"/>
            <w:vAlign w:val="center"/>
          </w:tcPr>
          <w:p>
            <w:pPr>
              <w:keepNext w:val="0"/>
              <w:keepLines w:val="0"/>
              <w:widowControl/>
              <w:suppressLineNumbers w:val="0"/>
              <w:jc w:val="left"/>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师范类专业认证背景下数学专业基础课程体系优化与教学内容改革研究</w:t>
            </w:r>
          </w:p>
        </w:tc>
        <w:tc>
          <w:tcPr>
            <w:tcW w:w="1050"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廖春艳</w:t>
            </w:r>
          </w:p>
        </w:tc>
        <w:tc>
          <w:tcPr>
            <w:tcW w:w="1268"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pStyle w:val="2"/>
              <w:snapToGrid w:val="0"/>
              <w:ind w:firstLine="0" w:firstLineChars="0"/>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lang w:val="en-US" w:eastAsia="zh-CN"/>
              </w:rPr>
              <w:t>8</w:t>
            </w:r>
          </w:p>
        </w:tc>
        <w:tc>
          <w:tcPr>
            <w:tcW w:w="6055" w:type="dxa"/>
            <w:vAlign w:val="center"/>
          </w:tcPr>
          <w:p>
            <w:pPr>
              <w:keepNext w:val="0"/>
              <w:keepLines w:val="0"/>
              <w:widowControl/>
              <w:suppressLineNumbers w:val="0"/>
              <w:jc w:val="left"/>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基于网络课程的“对分课堂”教学模式研究与实践</w:t>
            </w:r>
          </w:p>
        </w:tc>
        <w:tc>
          <w:tcPr>
            <w:tcW w:w="1050"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包本刚</w:t>
            </w:r>
          </w:p>
        </w:tc>
        <w:tc>
          <w:tcPr>
            <w:tcW w:w="1268"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pStyle w:val="2"/>
              <w:snapToGrid w:val="0"/>
              <w:ind w:firstLine="0" w:firstLineChars="0"/>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lang w:val="en-US" w:eastAsia="zh-CN"/>
              </w:rPr>
              <w:t>9</w:t>
            </w:r>
          </w:p>
        </w:tc>
        <w:tc>
          <w:tcPr>
            <w:tcW w:w="6055" w:type="dxa"/>
            <w:vAlign w:val="center"/>
          </w:tcPr>
          <w:p>
            <w:pPr>
              <w:keepNext w:val="0"/>
              <w:keepLines w:val="0"/>
              <w:widowControl/>
              <w:suppressLineNumbers w:val="0"/>
              <w:jc w:val="left"/>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新工科背景下的《计算机操作系统》课程改革与实施</w:t>
            </w:r>
          </w:p>
        </w:tc>
        <w:tc>
          <w:tcPr>
            <w:tcW w:w="1050"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刘小兵</w:t>
            </w:r>
          </w:p>
        </w:tc>
        <w:tc>
          <w:tcPr>
            <w:tcW w:w="1268"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pStyle w:val="2"/>
              <w:snapToGrid w:val="0"/>
              <w:ind w:firstLine="0" w:firstLineChars="0"/>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lang w:val="en-US" w:eastAsia="zh-CN"/>
              </w:rPr>
              <w:t>10</w:t>
            </w:r>
          </w:p>
        </w:tc>
        <w:tc>
          <w:tcPr>
            <w:tcW w:w="6055" w:type="dxa"/>
            <w:vAlign w:val="center"/>
          </w:tcPr>
          <w:p>
            <w:pPr>
              <w:keepNext w:val="0"/>
              <w:keepLines w:val="0"/>
              <w:widowControl/>
              <w:suppressLineNumbers w:val="0"/>
              <w:jc w:val="left"/>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新工科背景下土木工程专业课程思政教育体系构建研究</w:t>
            </w:r>
          </w:p>
        </w:tc>
        <w:tc>
          <w:tcPr>
            <w:tcW w:w="1050"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靳鹏伟</w:t>
            </w:r>
          </w:p>
        </w:tc>
        <w:tc>
          <w:tcPr>
            <w:tcW w:w="1268"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pStyle w:val="2"/>
              <w:keepNext w:val="0"/>
              <w:keepLines w:val="0"/>
              <w:pageBreakBefore w:val="0"/>
              <w:widowControl/>
              <w:kinsoku/>
              <w:wordWrap/>
              <w:overflowPunct/>
              <w:topLinePunct w:val="0"/>
              <w:autoSpaceDE/>
              <w:autoSpaceDN/>
              <w:bidi w:val="0"/>
              <w:adjustRightInd/>
              <w:snapToGrid w:val="0"/>
              <w:spacing w:line="380" w:lineRule="exact"/>
              <w:ind w:firstLine="0" w:firstLineChars="0"/>
              <w:jc w:val="center"/>
              <w:textAlignment w:val="auto"/>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lang w:val="en-US" w:eastAsia="zh-CN"/>
              </w:rPr>
              <w:t>11</w:t>
            </w:r>
          </w:p>
        </w:tc>
        <w:tc>
          <w:tcPr>
            <w:tcW w:w="6055" w:type="dxa"/>
            <w:vAlign w:val="center"/>
          </w:tcPr>
          <w:p>
            <w:pPr>
              <w:keepNext w:val="0"/>
              <w:keepLines w:val="0"/>
              <w:widowControl/>
              <w:suppressLineNumbers w:val="0"/>
              <w:jc w:val="left"/>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“三全育人”视域下《大学计算机基础》课程思政实践路径研究</w:t>
            </w:r>
          </w:p>
        </w:tc>
        <w:tc>
          <w:tcPr>
            <w:tcW w:w="1050"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宋  梅</w:t>
            </w:r>
          </w:p>
        </w:tc>
        <w:tc>
          <w:tcPr>
            <w:tcW w:w="1268" w:type="dxa"/>
            <w:vAlign w:val="center"/>
          </w:tcPr>
          <w:p>
            <w:pPr>
              <w:keepNext w:val="0"/>
              <w:keepLines w:val="0"/>
              <w:widowControl/>
              <w:suppressLineNumbers w:val="0"/>
              <w:jc w:val="both"/>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pStyle w:val="2"/>
              <w:snapToGrid w:val="0"/>
              <w:ind w:firstLine="0" w:firstLineChars="0"/>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lang w:val="en-US" w:eastAsia="zh-CN"/>
              </w:rPr>
              <w:t>12</w:t>
            </w:r>
          </w:p>
        </w:tc>
        <w:tc>
          <w:tcPr>
            <w:tcW w:w="6055" w:type="dxa"/>
            <w:vAlign w:val="center"/>
          </w:tcPr>
          <w:p>
            <w:pPr>
              <w:keepNext w:val="0"/>
              <w:keepLines w:val="0"/>
              <w:widowControl/>
              <w:suppressLineNumbers w:val="0"/>
              <w:jc w:val="left"/>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基于科技竞赛的本科生实践能力和创新精神培养模式设计与建设</w:t>
            </w:r>
          </w:p>
        </w:tc>
        <w:tc>
          <w:tcPr>
            <w:tcW w:w="1050"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王林惠</w:t>
            </w:r>
          </w:p>
        </w:tc>
        <w:tc>
          <w:tcPr>
            <w:tcW w:w="1268"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pStyle w:val="2"/>
              <w:snapToGrid w:val="0"/>
              <w:ind w:firstLine="0" w:firstLineChars="0"/>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lang w:val="en-US" w:eastAsia="zh-CN"/>
              </w:rPr>
              <w:t>13</w:t>
            </w:r>
          </w:p>
        </w:tc>
        <w:tc>
          <w:tcPr>
            <w:tcW w:w="6055" w:type="dxa"/>
            <w:vAlign w:val="center"/>
          </w:tcPr>
          <w:p>
            <w:pPr>
              <w:keepNext w:val="0"/>
              <w:keepLines w:val="0"/>
              <w:widowControl/>
              <w:suppressLineNumbers w:val="0"/>
              <w:jc w:val="left"/>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基于无人机、三维激光扫描仪在《数字地形测量学》课程教学模式改革与实践</w:t>
            </w:r>
          </w:p>
        </w:tc>
        <w:tc>
          <w:tcPr>
            <w:tcW w:w="1050"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杨  志</w:t>
            </w:r>
          </w:p>
        </w:tc>
        <w:tc>
          <w:tcPr>
            <w:tcW w:w="1268"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pStyle w:val="2"/>
              <w:snapToGrid w:val="0"/>
              <w:ind w:firstLine="0" w:firstLineChars="0"/>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lang w:val="en-US" w:eastAsia="zh-CN"/>
              </w:rPr>
              <w:t>14</w:t>
            </w:r>
          </w:p>
        </w:tc>
        <w:tc>
          <w:tcPr>
            <w:tcW w:w="6055" w:type="dxa"/>
            <w:vAlign w:val="center"/>
          </w:tcPr>
          <w:p>
            <w:pPr>
              <w:keepNext w:val="0"/>
              <w:keepLines w:val="0"/>
              <w:widowControl/>
              <w:suppressLineNumbers w:val="0"/>
              <w:jc w:val="left"/>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《化学专业英语》课程分层级、场景化、阶段化“听说读写译”考核方式改革</w:t>
            </w:r>
          </w:p>
        </w:tc>
        <w:tc>
          <w:tcPr>
            <w:tcW w:w="1050"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唐海珊</w:t>
            </w:r>
          </w:p>
        </w:tc>
        <w:tc>
          <w:tcPr>
            <w:tcW w:w="1268"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pStyle w:val="2"/>
              <w:snapToGrid w:val="0"/>
              <w:ind w:firstLine="0" w:firstLineChars="0"/>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lang w:val="en-US" w:eastAsia="zh-CN"/>
              </w:rPr>
              <w:t>15</w:t>
            </w:r>
          </w:p>
        </w:tc>
        <w:tc>
          <w:tcPr>
            <w:tcW w:w="6055" w:type="dxa"/>
            <w:vAlign w:val="center"/>
          </w:tcPr>
          <w:p>
            <w:pPr>
              <w:keepNext w:val="0"/>
              <w:keepLines w:val="0"/>
              <w:widowControl/>
              <w:suppressLineNumbers w:val="0"/>
              <w:jc w:val="left"/>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新工科背景下《物理化学》课程思政的研究与实践</w:t>
            </w:r>
          </w:p>
        </w:tc>
        <w:tc>
          <w:tcPr>
            <w:tcW w:w="1050"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谭英芝</w:t>
            </w:r>
          </w:p>
        </w:tc>
        <w:tc>
          <w:tcPr>
            <w:tcW w:w="1268"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pStyle w:val="2"/>
              <w:snapToGrid w:val="0"/>
              <w:ind w:firstLine="0" w:firstLineChars="0"/>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lang w:val="en-US" w:eastAsia="zh-CN"/>
              </w:rPr>
              <w:t>16</w:t>
            </w:r>
          </w:p>
        </w:tc>
        <w:tc>
          <w:tcPr>
            <w:tcW w:w="6055" w:type="dxa"/>
            <w:vAlign w:val="center"/>
          </w:tcPr>
          <w:p>
            <w:pPr>
              <w:keepNext w:val="0"/>
              <w:keepLines w:val="0"/>
              <w:widowControl/>
              <w:suppressLineNumbers w:val="0"/>
              <w:jc w:val="left"/>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 xml:space="preserve">新工科背景下食品生物化学课程混合式教学模式的探索  </w:t>
            </w:r>
          </w:p>
        </w:tc>
        <w:tc>
          <w:tcPr>
            <w:tcW w:w="1050"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蒋黎艳</w:t>
            </w:r>
          </w:p>
        </w:tc>
        <w:tc>
          <w:tcPr>
            <w:tcW w:w="1268"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pStyle w:val="2"/>
              <w:snapToGrid w:val="0"/>
              <w:ind w:firstLine="0" w:firstLineChars="0"/>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lang w:val="en-US" w:eastAsia="zh-CN"/>
              </w:rPr>
              <w:t>17</w:t>
            </w:r>
          </w:p>
        </w:tc>
        <w:tc>
          <w:tcPr>
            <w:tcW w:w="6055" w:type="dxa"/>
            <w:vAlign w:val="center"/>
          </w:tcPr>
          <w:p>
            <w:pPr>
              <w:keepNext w:val="0"/>
              <w:keepLines w:val="0"/>
              <w:widowControl/>
              <w:suppressLineNumbers w:val="0"/>
              <w:jc w:val="left"/>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基于“课程思政”理念的《现代生物学前沿》教学改革与实践</w:t>
            </w:r>
          </w:p>
        </w:tc>
        <w:tc>
          <w:tcPr>
            <w:tcW w:w="1050"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曹林艳</w:t>
            </w:r>
          </w:p>
        </w:tc>
        <w:tc>
          <w:tcPr>
            <w:tcW w:w="1268"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pStyle w:val="2"/>
              <w:snapToGrid w:val="0"/>
              <w:ind w:firstLine="0" w:firstLineChars="0"/>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lang w:val="en-US" w:eastAsia="zh-CN"/>
              </w:rPr>
              <w:t>18</w:t>
            </w:r>
          </w:p>
        </w:tc>
        <w:tc>
          <w:tcPr>
            <w:tcW w:w="6055" w:type="dxa"/>
            <w:vAlign w:val="center"/>
          </w:tcPr>
          <w:p>
            <w:pPr>
              <w:keepNext w:val="0"/>
              <w:keepLines w:val="0"/>
              <w:widowControl/>
              <w:suppressLineNumbers w:val="0"/>
              <w:jc w:val="left"/>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PLC课程CDIO模式教改的研究与实践</w:t>
            </w:r>
          </w:p>
        </w:tc>
        <w:tc>
          <w:tcPr>
            <w:tcW w:w="1050"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游珍珍</w:t>
            </w:r>
          </w:p>
        </w:tc>
        <w:tc>
          <w:tcPr>
            <w:tcW w:w="1268"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pStyle w:val="2"/>
              <w:snapToGrid w:val="0"/>
              <w:ind w:firstLine="0" w:firstLineChars="0"/>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lang w:val="en-US" w:eastAsia="zh-CN"/>
              </w:rPr>
              <w:t>19</w:t>
            </w:r>
          </w:p>
        </w:tc>
        <w:tc>
          <w:tcPr>
            <w:tcW w:w="6055" w:type="dxa"/>
            <w:vAlign w:val="center"/>
          </w:tcPr>
          <w:p>
            <w:pPr>
              <w:keepNext w:val="0"/>
              <w:keepLines w:val="0"/>
              <w:widowControl/>
              <w:suppressLineNumbers w:val="0"/>
              <w:jc w:val="left"/>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制药工程专业学科背景下《中药学》教学改革探讨</w:t>
            </w:r>
          </w:p>
        </w:tc>
        <w:tc>
          <w:tcPr>
            <w:tcW w:w="1050"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徐香琴</w:t>
            </w:r>
          </w:p>
        </w:tc>
        <w:tc>
          <w:tcPr>
            <w:tcW w:w="1268"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pStyle w:val="2"/>
              <w:snapToGrid w:val="0"/>
              <w:ind w:firstLine="0" w:firstLineChars="0"/>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lang w:val="en-US" w:eastAsia="zh-CN"/>
              </w:rPr>
              <w:t>20</w:t>
            </w:r>
          </w:p>
        </w:tc>
        <w:tc>
          <w:tcPr>
            <w:tcW w:w="6055" w:type="dxa"/>
            <w:vAlign w:val="center"/>
          </w:tcPr>
          <w:p>
            <w:pPr>
              <w:keepNext w:val="0"/>
              <w:keepLines w:val="0"/>
              <w:widowControl/>
              <w:suppressLineNumbers w:val="0"/>
              <w:jc w:val="left"/>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新工科背景下通信工程专业“高等数学”教学研究</w:t>
            </w:r>
          </w:p>
        </w:tc>
        <w:tc>
          <w:tcPr>
            <w:tcW w:w="1050"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华玉春</w:t>
            </w:r>
          </w:p>
        </w:tc>
        <w:tc>
          <w:tcPr>
            <w:tcW w:w="1268"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pStyle w:val="2"/>
              <w:snapToGrid w:val="0"/>
              <w:ind w:firstLine="0" w:firstLineChars="0"/>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lang w:val="en-US" w:eastAsia="zh-CN"/>
              </w:rPr>
              <w:t>21</w:t>
            </w:r>
          </w:p>
        </w:tc>
        <w:tc>
          <w:tcPr>
            <w:tcW w:w="6055" w:type="dxa"/>
            <w:vAlign w:val="center"/>
          </w:tcPr>
          <w:p>
            <w:pPr>
              <w:keepNext w:val="0"/>
              <w:keepLines w:val="0"/>
              <w:widowControl/>
              <w:suppressLineNumbers w:val="0"/>
              <w:jc w:val="left"/>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新工科背景下《信号与系统》课程混合式教学改革与实践</w:t>
            </w:r>
          </w:p>
        </w:tc>
        <w:tc>
          <w:tcPr>
            <w:tcW w:w="1050"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杨  钰</w:t>
            </w:r>
          </w:p>
        </w:tc>
        <w:tc>
          <w:tcPr>
            <w:tcW w:w="1268"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pStyle w:val="2"/>
              <w:snapToGrid w:val="0"/>
              <w:ind w:firstLine="0" w:firstLineChars="0"/>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lang w:val="en-US" w:eastAsia="zh-CN"/>
              </w:rPr>
              <w:t>22</w:t>
            </w:r>
          </w:p>
        </w:tc>
        <w:tc>
          <w:tcPr>
            <w:tcW w:w="6055" w:type="dxa"/>
            <w:vAlign w:val="center"/>
          </w:tcPr>
          <w:p>
            <w:pPr>
              <w:keepNext w:val="0"/>
              <w:keepLines w:val="0"/>
              <w:widowControl/>
              <w:suppressLineNumbers w:val="0"/>
              <w:jc w:val="left"/>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基于科教融合的生物化工大实验教学改革与设计</w:t>
            </w:r>
          </w:p>
        </w:tc>
        <w:tc>
          <w:tcPr>
            <w:tcW w:w="1050"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刘晓霞</w:t>
            </w:r>
          </w:p>
        </w:tc>
        <w:tc>
          <w:tcPr>
            <w:tcW w:w="1268"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pStyle w:val="2"/>
              <w:snapToGrid w:val="0"/>
              <w:ind w:firstLine="0" w:firstLineChars="0"/>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lang w:val="en-US" w:eastAsia="zh-CN"/>
              </w:rPr>
              <w:t>23</w:t>
            </w:r>
          </w:p>
        </w:tc>
        <w:tc>
          <w:tcPr>
            <w:tcW w:w="6055" w:type="dxa"/>
            <w:vAlign w:val="center"/>
          </w:tcPr>
          <w:p>
            <w:pPr>
              <w:keepNext w:val="0"/>
              <w:keepLines w:val="0"/>
              <w:widowControl/>
              <w:suppressLineNumbers w:val="0"/>
              <w:jc w:val="left"/>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基于学习通平台的《会计电算化》翻转课堂的构建与应用</w:t>
            </w:r>
          </w:p>
        </w:tc>
        <w:tc>
          <w:tcPr>
            <w:tcW w:w="1050"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鲁  睿</w:t>
            </w:r>
          </w:p>
        </w:tc>
        <w:tc>
          <w:tcPr>
            <w:tcW w:w="1268"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pStyle w:val="2"/>
              <w:snapToGrid w:val="0"/>
              <w:ind w:firstLine="0" w:firstLineChars="0"/>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lang w:val="en-US" w:eastAsia="zh-CN"/>
              </w:rPr>
              <w:t>24</w:t>
            </w:r>
          </w:p>
        </w:tc>
        <w:tc>
          <w:tcPr>
            <w:tcW w:w="6055" w:type="dxa"/>
            <w:vAlign w:val="center"/>
          </w:tcPr>
          <w:p>
            <w:pPr>
              <w:keepNext w:val="0"/>
              <w:keepLines w:val="0"/>
              <w:widowControl/>
              <w:suppressLineNumbers w:val="0"/>
              <w:jc w:val="left"/>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创新创业教育背景下高等数学教学方法研究</w:t>
            </w:r>
          </w:p>
        </w:tc>
        <w:tc>
          <w:tcPr>
            <w:tcW w:w="1050"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唐亚林</w:t>
            </w:r>
          </w:p>
        </w:tc>
        <w:tc>
          <w:tcPr>
            <w:tcW w:w="1268"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pStyle w:val="2"/>
              <w:snapToGrid w:val="0"/>
              <w:ind w:firstLine="0" w:firstLineChars="0"/>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lang w:val="en-US" w:eastAsia="zh-CN"/>
              </w:rPr>
              <w:t>25</w:t>
            </w:r>
          </w:p>
        </w:tc>
        <w:tc>
          <w:tcPr>
            <w:tcW w:w="6055" w:type="dxa"/>
            <w:vAlign w:val="center"/>
          </w:tcPr>
          <w:p>
            <w:pPr>
              <w:keepNext w:val="0"/>
              <w:keepLines w:val="0"/>
              <w:widowControl/>
              <w:suppressLineNumbers w:val="0"/>
              <w:jc w:val="left"/>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地方文化影像传播视域下摄影摄像类课程改革研究</w:t>
            </w:r>
          </w:p>
        </w:tc>
        <w:tc>
          <w:tcPr>
            <w:tcW w:w="1050"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蒋玮玮</w:t>
            </w:r>
          </w:p>
        </w:tc>
        <w:tc>
          <w:tcPr>
            <w:tcW w:w="1268"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pStyle w:val="2"/>
              <w:snapToGrid w:val="0"/>
              <w:ind w:firstLine="0" w:firstLineChars="0"/>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lang w:val="en-US" w:eastAsia="zh-CN"/>
              </w:rPr>
              <w:t>26</w:t>
            </w:r>
          </w:p>
        </w:tc>
        <w:tc>
          <w:tcPr>
            <w:tcW w:w="6055" w:type="dxa"/>
            <w:vAlign w:val="center"/>
          </w:tcPr>
          <w:p>
            <w:pPr>
              <w:keepNext w:val="0"/>
              <w:keepLines w:val="0"/>
              <w:widowControl/>
              <w:suppressLineNumbers w:val="0"/>
              <w:jc w:val="left"/>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后疫情背景下BOPPPS模式的混合式教学研究——以《产品开发设计》为例</w:t>
            </w:r>
          </w:p>
        </w:tc>
        <w:tc>
          <w:tcPr>
            <w:tcW w:w="1050"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李小红</w:t>
            </w:r>
          </w:p>
        </w:tc>
        <w:tc>
          <w:tcPr>
            <w:tcW w:w="1268"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pStyle w:val="2"/>
              <w:snapToGrid w:val="0"/>
              <w:ind w:firstLine="0" w:firstLineChars="0"/>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lang w:val="en-US" w:eastAsia="zh-CN"/>
              </w:rPr>
              <w:t>27</w:t>
            </w:r>
          </w:p>
        </w:tc>
        <w:tc>
          <w:tcPr>
            <w:tcW w:w="6055" w:type="dxa"/>
            <w:vAlign w:val="center"/>
          </w:tcPr>
          <w:p>
            <w:pPr>
              <w:keepNext w:val="0"/>
              <w:keepLines w:val="0"/>
              <w:widowControl/>
              <w:suppressLineNumbers w:val="0"/>
              <w:jc w:val="left"/>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地方院校国学经典四维教学模式研究——以《哲学原著导读》为例</w:t>
            </w:r>
          </w:p>
        </w:tc>
        <w:tc>
          <w:tcPr>
            <w:tcW w:w="1050"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夏翠兰</w:t>
            </w:r>
          </w:p>
        </w:tc>
        <w:tc>
          <w:tcPr>
            <w:tcW w:w="1268"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pStyle w:val="2"/>
              <w:snapToGrid w:val="0"/>
              <w:ind w:firstLine="0" w:firstLineChars="0"/>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lang w:val="en-US" w:eastAsia="zh-CN"/>
              </w:rPr>
              <w:t>28</w:t>
            </w:r>
          </w:p>
        </w:tc>
        <w:tc>
          <w:tcPr>
            <w:tcW w:w="6055" w:type="dxa"/>
            <w:vAlign w:val="center"/>
          </w:tcPr>
          <w:p>
            <w:pPr>
              <w:keepNext w:val="0"/>
              <w:keepLines w:val="0"/>
              <w:widowControl/>
              <w:suppressLineNumbers w:val="0"/>
              <w:jc w:val="left"/>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英语专业视听说课程“混合式学习”促进高阶学习的研究</w:t>
            </w:r>
          </w:p>
        </w:tc>
        <w:tc>
          <w:tcPr>
            <w:tcW w:w="1050"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罗  琼</w:t>
            </w:r>
          </w:p>
        </w:tc>
        <w:tc>
          <w:tcPr>
            <w:tcW w:w="1268"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pStyle w:val="2"/>
              <w:snapToGrid w:val="0"/>
              <w:ind w:firstLine="0" w:firstLineChars="0"/>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lang w:val="en-US" w:eastAsia="zh-CN"/>
              </w:rPr>
              <w:t>29</w:t>
            </w:r>
          </w:p>
        </w:tc>
        <w:tc>
          <w:tcPr>
            <w:tcW w:w="6055" w:type="dxa"/>
            <w:vAlign w:val="center"/>
          </w:tcPr>
          <w:p>
            <w:pPr>
              <w:keepNext w:val="0"/>
              <w:keepLines w:val="0"/>
              <w:widowControl/>
              <w:suppressLineNumbers w:val="0"/>
              <w:jc w:val="left"/>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新文科背景下航空服务艺术与管理专业人才培养模式研究</w:t>
            </w:r>
          </w:p>
        </w:tc>
        <w:tc>
          <w:tcPr>
            <w:tcW w:w="1050"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王  跃</w:t>
            </w:r>
          </w:p>
        </w:tc>
        <w:tc>
          <w:tcPr>
            <w:tcW w:w="1268" w:type="dxa"/>
            <w:vAlign w:val="center"/>
          </w:tcPr>
          <w:p>
            <w:pPr>
              <w:keepNext w:val="0"/>
              <w:keepLines w:val="0"/>
              <w:widowControl/>
              <w:suppressLineNumbers w:val="0"/>
              <w:jc w:val="both"/>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pStyle w:val="2"/>
              <w:snapToGrid w:val="0"/>
              <w:ind w:firstLine="0" w:firstLineChars="0"/>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lang w:val="en-US" w:eastAsia="zh-CN"/>
              </w:rPr>
              <w:t>30</w:t>
            </w:r>
          </w:p>
        </w:tc>
        <w:tc>
          <w:tcPr>
            <w:tcW w:w="6055" w:type="dxa"/>
            <w:vAlign w:val="center"/>
          </w:tcPr>
          <w:p>
            <w:pPr>
              <w:keepNext w:val="0"/>
              <w:keepLines w:val="0"/>
              <w:widowControl/>
              <w:suppressLineNumbers w:val="0"/>
              <w:jc w:val="left"/>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永州党史资源融入“概论”课教学的探索与实践</w:t>
            </w:r>
          </w:p>
        </w:tc>
        <w:tc>
          <w:tcPr>
            <w:tcW w:w="1050"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何宝君</w:t>
            </w:r>
          </w:p>
        </w:tc>
        <w:tc>
          <w:tcPr>
            <w:tcW w:w="1268"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pStyle w:val="2"/>
              <w:snapToGrid w:val="0"/>
              <w:ind w:firstLine="0" w:firstLineChars="0"/>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lang w:val="en-US" w:eastAsia="zh-CN"/>
              </w:rPr>
              <w:t>31</w:t>
            </w:r>
          </w:p>
        </w:tc>
        <w:tc>
          <w:tcPr>
            <w:tcW w:w="6055" w:type="dxa"/>
            <w:vAlign w:val="center"/>
          </w:tcPr>
          <w:p>
            <w:pPr>
              <w:keepNext w:val="0"/>
              <w:keepLines w:val="0"/>
              <w:widowControl/>
              <w:suppressLineNumbers w:val="0"/>
              <w:jc w:val="left"/>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基于OBE理念的实践教学课程考核模式改革研究—以“广告设计”课程为例</w:t>
            </w:r>
          </w:p>
        </w:tc>
        <w:tc>
          <w:tcPr>
            <w:tcW w:w="1050"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夏炳梅</w:t>
            </w:r>
          </w:p>
        </w:tc>
        <w:tc>
          <w:tcPr>
            <w:tcW w:w="1268"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pStyle w:val="2"/>
              <w:snapToGrid w:val="0"/>
              <w:ind w:firstLine="0" w:firstLineChars="0"/>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lang w:val="en-US" w:eastAsia="zh-CN"/>
              </w:rPr>
              <w:t>32</w:t>
            </w:r>
          </w:p>
        </w:tc>
        <w:tc>
          <w:tcPr>
            <w:tcW w:w="6055" w:type="dxa"/>
            <w:vAlign w:val="center"/>
          </w:tcPr>
          <w:p>
            <w:pPr>
              <w:keepNext w:val="0"/>
              <w:keepLines w:val="0"/>
              <w:widowControl/>
              <w:suppressLineNumbers w:val="0"/>
              <w:jc w:val="left"/>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“互联网+”背景下非英语专业大学生英语自主学习过程监控体系研究——以湖南科技学院为例</w:t>
            </w:r>
          </w:p>
        </w:tc>
        <w:tc>
          <w:tcPr>
            <w:tcW w:w="1050"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郭建伟</w:t>
            </w:r>
          </w:p>
        </w:tc>
        <w:tc>
          <w:tcPr>
            <w:tcW w:w="1268"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pStyle w:val="2"/>
              <w:snapToGrid w:val="0"/>
              <w:ind w:firstLine="0" w:firstLineChars="0"/>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lang w:val="en-US" w:eastAsia="zh-CN"/>
              </w:rPr>
              <w:t>33</w:t>
            </w:r>
          </w:p>
        </w:tc>
        <w:tc>
          <w:tcPr>
            <w:tcW w:w="6055" w:type="dxa"/>
            <w:vAlign w:val="center"/>
          </w:tcPr>
          <w:p>
            <w:pPr>
              <w:keepNext w:val="0"/>
              <w:keepLines w:val="0"/>
              <w:widowControl/>
              <w:suppressLineNumbers w:val="0"/>
              <w:jc w:val="left"/>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“互联网+”背景下地方本科院校思想政治教育专业学生培养及教学模式重构研究</w:t>
            </w:r>
          </w:p>
        </w:tc>
        <w:tc>
          <w:tcPr>
            <w:tcW w:w="1050"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郭宜娟</w:t>
            </w:r>
          </w:p>
        </w:tc>
        <w:tc>
          <w:tcPr>
            <w:tcW w:w="1268"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pStyle w:val="2"/>
              <w:snapToGrid w:val="0"/>
              <w:ind w:firstLine="0" w:firstLineChars="0"/>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lang w:val="en-US" w:eastAsia="zh-CN"/>
              </w:rPr>
              <w:t>34</w:t>
            </w:r>
          </w:p>
        </w:tc>
        <w:tc>
          <w:tcPr>
            <w:tcW w:w="6055" w:type="dxa"/>
            <w:vAlign w:val="center"/>
          </w:tcPr>
          <w:p>
            <w:pPr>
              <w:keepNext w:val="0"/>
              <w:keepLines w:val="0"/>
              <w:widowControl/>
              <w:suppressLineNumbers w:val="0"/>
              <w:jc w:val="left"/>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核心素养背景下中学语文教学板书设计研究</w:t>
            </w:r>
          </w:p>
        </w:tc>
        <w:tc>
          <w:tcPr>
            <w:tcW w:w="1050"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代军垒</w:t>
            </w:r>
          </w:p>
        </w:tc>
        <w:tc>
          <w:tcPr>
            <w:tcW w:w="1268"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pStyle w:val="2"/>
              <w:snapToGrid w:val="0"/>
              <w:ind w:firstLine="0" w:firstLineChars="0"/>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lang w:val="en-US" w:eastAsia="zh-CN"/>
              </w:rPr>
              <w:t>35</w:t>
            </w:r>
          </w:p>
        </w:tc>
        <w:tc>
          <w:tcPr>
            <w:tcW w:w="6055" w:type="dxa"/>
            <w:vAlign w:val="center"/>
          </w:tcPr>
          <w:p>
            <w:pPr>
              <w:keepNext w:val="0"/>
              <w:keepLines w:val="0"/>
              <w:widowControl/>
              <w:suppressLineNumbers w:val="0"/>
              <w:jc w:val="left"/>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微电影教学法在高校思政课程中的运用</w:t>
            </w:r>
          </w:p>
        </w:tc>
        <w:tc>
          <w:tcPr>
            <w:tcW w:w="1050"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周  梅</w:t>
            </w:r>
          </w:p>
        </w:tc>
        <w:tc>
          <w:tcPr>
            <w:tcW w:w="1268"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pStyle w:val="2"/>
              <w:snapToGrid w:val="0"/>
              <w:ind w:firstLine="0" w:firstLineChars="0"/>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lang w:val="en-US" w:eastAsia="zh-CN"/>
              </w:rPr>
              <w:t>36</w:t>
            </w:r>
          </w:p>
        </w:tc>
        <w:tc>
          <w:tcPr>
            <w:tcW w:w="6055" w:type="dxa"/>
            <w:vAlign w:val="center"/>
          </w:tcPr>
          <w:p>
            <w:pPr>
              <w:keepNext w:val="0"/>
              <w:keepLines w:val="0"/>
              <w:widowControl/>
              <w:suppressLineNumbers w:val="0"/>
              <w:jc w:val="left"/>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研讨式教学法在《商务英语阅读》课程教学中的应用研究</w:t>
            </w:r>
          </w:p>
        </w:tc>
        <w:tc>
          <w:tcPr>
            <w:tcW w:w="1050"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唐  晨</w:t>
            </w:r>
          </w:p>
        </w:tc>
        <w:tc>
          <w:tcPr>
            <w:tcW w:w="1268"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pStyle w:val="2"/>
              <w:snapToGrid w:val="0"/>
              <w:ind w:firstLine="0" w:firstLineChars="0"/>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lang w:val="en-US" w:eastAsia="zh-CN"/>
              </w:rPr>
              <w:t>37</w:t>
            </w:r>
          </w:p>
        </w:tc>
        <w:tc>
          <w:tcPr>
            <w:tcW w:w="6055" w:type="dxa"/>
            <w:vAlign w:val="center"/>
          </w:tcPr>
          <w:p>
            <w:pPr>
              <w:keepNext w:val="0"/>
              <w:keepLines w:val="0"/>
              <w:widowControl/>
              <w:suppressLineNumbers w:val="0"/>
              <w:jc w:val="left"/>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美育背景下地方高校小提琴基础教学模式探讨</w:t>
            </w:r>
          </w:p>
        </w:tc>
        <w:tc>
          <w:tcPr>
            <w:tcW w:w="1050"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赵雨泉</w:t>
            </w:r>
          </w:p>
        </w:tc>
        <w:tc>
          <w:tcPr>
            <w:tcW w:w="1268"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pStyle w:val="2"/>
              <w:snapToGrid w:val="0"/>
              <w:ind w:firstLine="0" w:firstLineChars="0"/>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lang w:val="en-US" w:eastAsia="zh-CN"/>
              </w:rPr>
              <w:t>38</w:t>
            </w:r>
          </w:p>
        </w:tc>
        <w:tc>
          <w:tcPr>
            <w:tcW w:w="6055" w:type="dxa"/>
            <w:vAlign w:val="center"/>
          </w:tcPr>
          <w:p>
            <w:pPr>
              <w:keepNext w:val="0"/>
              <w:keepLines w:val="0"/>
              <w:widowControl/>
              <w:suppressLineNumbers w:val="0"/>
              <w:jc w:val="left"/>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基于项目教学法的《旅游规划与开发》课程混合式教学研究</w:t>
            </w:r>
          </w:p>
        </w:tc>
        <w:tc>
          <w:tcPr>
            <w:tcW w:w="1050"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吴宇辉</w:t>
            </w:r>
          </w:p>
        </w:tc>
        <w:tc>
          <w:tcPr>
            <w:tcW w:w="1268"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pStyle w:val="2"/>
              <w:snapToGrid w:val="0"/>
              <w:ind w:firstLine="0" w:firstLineChars="0"/>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lang w:val="en-US" w:eastAsia="zh-CN"/>
              </w:rPr>
              <w:t>39</w:t>
            </w:r>
          </w:p>
        </w:tc>
        <w:tc>
          <w:tcPr>
            <w:tcW w:w="6055" w:type="dxa"/>
            <w:vAlign w:val="center"/>
          </w:tcPr>
          <w:p>
            <w:pPr>
              <w:keepNext w:val="0"/>
              <w:keepLines w:val="0"/>
              <w:widowControl/>
              <w:suppressLineNumbers w:val="0"/>
              <w:jc w:val="left"/>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疫情与贸易战双重影响下《国际经济法》课程教学改革研究</w:t>
            </w:r>
          </w:p>
        </w:tc>
        <w:tc>
          <w:tcPr>
            <w:tcW w:w="1050"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王建雄</w:t>
            </w:r>
          </w:p>
        </w:tc>
        <w:tc>
          <w:tcPr>
            <w:tcW w:w="1268"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pStyle w:val="2"/>
              <w:snapToGrid w:val="0"/>
              <w:ind w:firstLine="0" w:firstLineChars="0"/>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lang w:val="en-US" w:eastAsia="zh-CN"/>
              </w:rPr>
              <w:t>40</w:t>
            </w:r>
          </w:p>
        </w:tc>
        <w:tc>
          <w:tcPr>
            <w:tcW w:w="6055" w:type="dxa"/>
            <w:vAlign w:val="center"/>
          </w:tcPr>
          <w:p>
            <w:pPr>
              <w:keepNext w:val="0"/>
              <w:keepLines w:val="0"/>
              <w:widowControl/>
              <w:suppressLineNumbers w:val="0"/>
              <w:jc w:val="left"/>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基于网络与新媒体专业专创融合教学改革的探索与研究</w:t>
            </w:r>
          </w:p>
        </w:tc>
        <w:tc>
          <w:tcPr>
            <w:tcW w:w="1050"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易倩文</w:t>
            </w:r>
          </w:p>
        </w:tc>
        <w:tc>
          <w:tcPr>
            <w:tcW w:w="1268"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pStyle w:val="2"/>
              <w:snapToGrid w:val="0"/>
              <w:ind w:firstLine="0" w:firstLineChars="0"/>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lang w:val="en-US" w:eastAsia="zh-CN"/>
              </w:rPr>
              <w:t>41</w:t>
            </w:r>
          </w:p>
        </w:tc>
        <w:tc>
          <w:tcPr>
            <w:tcW w:w="6055" w:type="dxa"/>
            <w:vAlign w:val="center"/>
          </w:tcPr>
          <w:p>
            <w:pPr>
              <w:keepNext w:val="0"/>
              <w:keepLines w:val="0"/>
              <w:widowControl/>
              <w:suppressLineNumbers w:val="0"/>
              <w:jc w:val="left"/>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虚拟现实技术在高校思政课堂中的应用研究--以马克思主义基本原理概论课为例</w:t>
            </w:r>
          </w:p>
        </w:tc>
        <w:tc>
          <w:tcPr>
            <w:tcW w:w="1050"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毛文杰</w:t>
            </w:r>
          </w:p>
        </w:tc>
        <w:tc>
          <w:tcPr>
            <w:tcW w:w="1268"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pStyle w:val="2"/>
              <w:snapToGrid w:val="0"/>
              <w:ind w:firstLine="0" w:firstLineChars="0"/>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lang w:val="en-US" w:eastAsia="zh-CN"/>
              </w:rPr>
              <w:t>42</w:t>
            </w:r>
          </w:p>
        </w:tc>
        <w:tc>
          <w:tcPr>
            <w:tcW w:w="6055" w:type="dxa"/>
            <w:vAlign w:val="center"/>
          </w:tcPr>
          <w:p>
            <w:pPr>
              <w:keepNext w:val="0"/>
              <w:keepLines w:val="0"/>
              <w:widowControl/>
              <w:suppressLineNumbers w:val="0"/>
              <w:jc w:val="left"/>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积极心理学在大学生职业生涯规划课程中的应用研究——以湖南科技学院为例</w:t>
            </w:r>
          </w:p>
        </w:tc>
        <w:tc>
          <w:tcPr>
            <w:tcW w:w="1050"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宋秋云</w:t>
            </w:r>
          </w:p>
        </w:tc>
        <w:tc>
          <w:tcPr>
            <w:tcW w:w="1268"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pStyle w:val="2"/>
              <w:snapToGrid w:val="0"/>
              <w:ind w:firstLine="0" w:firstLineChars="0"/>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lang w:val="en-US" w:eastAsia="zh-CN"/>
              </w:rPr>
              <w:t>43</w:t>
            </w:r>
          </w:p>
        </w:tc>
        <w:tc>
          <w:tcPr>
            <w:tcW w:w="6055" w:type="dxa"/>
            <w:vAlign w:val="center"/>
          </w:tcPr>
          <w:p>
            <w:pPr>
              <w:keepNext w:val="0"/>
              <w:keepLines w:val="0"/>
              <w:widowControl/>
              <w:suppressLineNumbers w:val="0"/>
              <w:jc w:val="left"/>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新时代地方院校音乐学钢琴专业学生“五维度”从教能力培育研究</w:t>
            </w:r>
          </w:p>
        </w:tc>
        <w:tc>
          <w:tcPr>
            <w:tcW w:w="1050"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吕文青</w:t>
            </w:r>
          </w:p>
        </w:tc>
        <w:tc>
          <w:tcPr>
            <w:tcW w:w="1268"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pStyle w:val="2"/>
              <w:snapToGrid w:val="0"/>
              <w:ind w:firstLine="0" w:firstLineChars="0"/>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lang w:val="en-US" w:eastAsia="zh-CN"/>
              </w:rPr>
              <w:t>44</w:t>
            </w:r>
          </w:p>
        </w:tc>
        <w:tc>
          <w:tcPr>
            <w:tcW w:w="6055" w:type="dxa"/>
            <w:vAlign w:val="center"/>
          </w:tcPr>
          <w:p>
            <w:pPr>
              <w:keepNext w:val="0"/>
              <w:keepLines w:val="0"/>
              <w:widowControl/>
              <w:suppressLineNumbers w:val="0"/>
              <w:jc w:val="left"/>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乡村振兴背景下《园林景观设计》课程教学改革与探索</w:t>
            </w:r>
          </w:p>
        </w:tc>
        <w:tc>
          <w:tcPr>
            <w:tcW w:w="1050"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黄依炎</w:t>
            </w:r>
          </w:p>
        </w:tc>
        <w:tc>
          <w:tcPr>
            <w:tcW w:w="1268"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pStyle w:val="2"/>
              <w:snapToGrid w:val="0"/>
              <w:ind w:firstLine="0" w:firstLineChars="0"/>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lang w:val="en-US" w:eastAsia="zh-CN"/>
              </w:rPr>
              <w:t>45</w:t>
            </w:r>
          </w:p>
        </w:tc>
        <w:tc>
          <w:tcPr>
            <w:tcW w:w="6055" w:type="dxa"/>
            <w:vAlign w:val="center"/>
          </w:tcPr>
          <w:p>
            <w:pPr>
              <w:keepNext w:val="0"/>
              <w:keepLines w:val="0"/>
              <w:widowControl/>
              <w:suppressLineNumbers w:val="0"/>
              <w:jc w:val="left"/>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基于人格教育的古代文学教学改革</w:t>
            </w:r>
          </w:p>
        </w:tc>
        <w:tc>
          <w:tcPr>
            <w:tcW w:w="1050"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周玉华</w:t>
            </w:r>
          </w:p>
        </w:tc>
        <w:tc>
          <w:tcPr>
            <w:tcW w:w="1268"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pStyle w:val="2"/>
              <w:snapToGrid w:val="0"/>
              <w:ind w:firstLine="0" w:firstLineChars="0"/>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lang w:val="en-US" w:eastAsia="zh-CN"/>
              </w:rPr>
              <w:t>46</w:t>
            </w:r>
          </w:p>
        </w:tc>
        <w:tc>
          <w:tcPr>
            <w:tcW w:w="6055" w:type="dxa"/>
            <w:vAlign w:val="center"/>
          </w:tcPr>
          <w:p>
            <w:pPr>
              <w:keepNext w:val="0"/>
              <w:keepLines w:val="0"/>
              <w:widowControl/>
              <w:suppressLineNumbers w:val="0"/>
              <w:jc w:val="left"/>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5G时代基于BOPPPS 模型《品牌战略管理》课程数字化教学体系构建</w:t>
            </w:r>
          </w:p>
        </w:tc>
        <w:tc>
          <w:tcPr>
            <w:tcW w:w="1050"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陈思曼</w:t>
            </w:r>
          </w:p>
        </w:tc>
        <w:tc>
          <w:tcPr>
            <w:tcW w:w="1268"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pStyle w:val="2"/>
              <w:snapToGrid w:val="0"/>
              <w:ind w:firstLine="0" w:firstLineChars="0"/>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lang w:val="en-US" w:eastAsia="zh-CN"/>
              </w:rPr>
              <w:t>47</w:t>
            </w:r>
          </w:p>
        </w:tc>
        <w:tc>
          <w:tcPr>
            <w:tcW w:w="6055" w:type="dxa"/>
            <w:vAlign w:val="center"/>
          </w:tcPr>
          <w:p>
            <w:pPr>
              <w:keepNext w:val="0"/>
              <w:keepLines w:val="0"/>
              <w:widowControl/>
              <w:suppressLineNumbers w:val="0"/>
              <w:jc w:val="left"/>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积极心理学视域下体验式教学融入心理健康课程新模式探究</w:t>
            </w:r>
          </w:p>
        </w:tc>
        <w:tc>
          <w:tcPr>
            <w:tcW w:w="1050"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李  媛</w:t>
            </w:r>
          </w:p>
        </w:tc>
        <w:tc>
          <w:tcPr>
            <w:tcW w:w="1268"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pStyle w:val="2"/>
              <w:snapToGrid w:val="0"/>
              <w:ind w:firstLine="0" w:firstLineChars="0"/>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lang w:val="en-US" w:eastAsia="zh-CN"/>
              </w:rPr>
              <w:t>48</w:t>
            </w:r>
          </w:p>
        </w:tc>
        <w:tc>
          <w:tcPr>
            <w:tcW w:w="6055" w:type="dxa"/>
            <w:vAlign w:val="center"/>
          </w:tcPr>
          <w:p>
            <w:pPr>
              <w:keepNext w:val="0"/>
              <w:keepLines w:val="0"/>
              <w:widowControl/>
              <w:suppressLineNumbers w:val="0"/>
              <w:jc w:val="left"/>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课程思政视域下的《文创产品设计》教学改革与实践</w:t>
            </w:r>
          </w:p>
        </w:tc>
        <w:tc>
          <w:tcPr>
            <w:tcW w:w="1050"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彭  融</w:t>
            </w:r>
          </w:p>
        </w:tc>
        <w:tc>
          <w:tcPr>
            <w:tcW w:w="1268"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pStyle w:val="2"/>
              <w:snapToGrid w:val="0"/>
              <w:ind w:firstLine="0" w:firstLineChars="0"/>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lang w:val="en-US" w:eastAsia="zh-CN"/>
              </w:rPr>
              <w:t>49</w:t>
            </w:r>
          </w:p>
        </w:tc>
        <w:tc>
          <w:tcPr>
            <w:tcW w:w="6055" w:type="dxa"/>
            <w:vAlign w:val="center"/>
          </w:tcPr>
          <w:p>
            <w:pPr>
              <w:keepNext w:val="0"/>
              <w:keepLines w:val="0"/>
              <w:widowControl/>
              <w:suppressLineNumbers w:val="0"/>
              <w:jc w:val="left"/>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商业化设计在产品设计专业《毕业设计》中的探索和实践研究</w:t>
            </w:r>
          </w:p>
        </w:tc>
        <w:tc>
          <w:tcPr>
            <w:tcW w:w="1050"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刘杨洋</w:t>
            </w:r>
          </w:p>
        </w:tc>
        <w:tc>
          <w:tcPr>
            <w:tcW w:w="1268"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pStyle w:val="2"/>
              <w:snapToGrid w:val="0"/>
              <w:ind w:firstLine="0" w:firstLineChars="0"/>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lang w:val="en-US" w:eastAsia="zh-CN"/>
              </w:rPr>
              <w:t>50</w:t>
            </w:r>
          </w:p>
        </w:tc>
        <w:tc>
          <w:tcPr>
            <w:tcW w:w="6055" w:type="dxa"/>
            <w:vAlign w:val="center"/>
          </w:tcPr>
          <w:p>
            <w:pPr>
              <w:keepNext w:val="0"/>
              <w:keepLines w:val="0"/>
              <w:widowControl/>
              <w:suppressLineNumbers w:val="0"/>
              <w:jc w:val="left"/>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新时代体教融合背景下大学体育课程教学改革的研究</w:t>
            </w:r>
          </w:p>
        </w:tc>
        <w:tc>
          <w:tcPr>
            <w:tcW w:w="1050" w:type="dxa"/>
            <w:vAlign w:val="center"/>
          </w:tcPr>
          <w:p>
            <w:pPr>
              <w:keepNext w:val="0"/>
              <w:keepLines w:val="0"/>
              <w:widowControl/>
              <w:suppressLineNumbers w:val="0"/>
              <w:jc w:val="center"/>
              <w:textAlignment w:val="center"/>
              <w:rPr>
                <w:rFonts w:hint="eastAsia" w:ascii="楷体" w:hAnsi="楷体" w:eastAsia="楷体" w:cs="楷体"/>
                <w:b/>
                <w:bCs/>
                <w:sz w:val="24"/>
                <w:szCs w:val="24"/>
                <w:vertAlign w:val="baseline"/>
                <w:lang w:val="en-US" w:eastAsia="zh-CN"/>
              </w:rPr>
            </w:pPr>
            <w:r>
              <w:rPr>
                <w:rFonts w:hint="eastAsia" w:ascii="楷体" w:hAnsi="楷体" w:eastAsia="楷体" w:cs="楷体"/>
                <w:i w:val="0"/>
                <w:color w:val="000000"/>
                <w:kern w:val="0"/>
                <w:sz w:val="24"/>
                <w:szCs w:val="24"/>
                <w:u w:val="none"/>
                <w:lang w:val="en-US" w:eastAsia="zh-CN" w:bidi="ar"/>
              </w:rPr>
              <w:t>彭卫梅</w:t>
            </w:r>
          </w:p>
        </w:tc>
        <w:tc>
          <w:tcPr>
            <w:tcW w:w="1268" w:type="dxa"/>
            <w:vAlign w:val="center"/>
          </w:tcPr>
          <w:p>
            <w:pPr>
              <w:keepNext w:val="0"/>
              <w:keepLines w:val="0"/>
              <w:widowControl/>
              <w:suppressLineNumbers w:val="0"/>
              <w:jc w:val="center"/>
              <w:textAlignment w:val="center"/>
              <w:rPr>
                <w:rFonts w:hint="eastAsia" w:ascii="楷体" w:hAnsi="楷体" w:eastAsia="楷体" w:cs="楷体"/>
                <w:i w:val="0"/>
                <w:color w:val="000000"/>
                <w:kern w:val="2"/>
                <w:sz w:val="24"/>
                <w:szCs w:val="24"/>
                <w:u w:val="none"/>
                <w:lang w:val="en-US" w:eastAsia="zh-CN" w:bidi="ar-SA"/>
              </w:rPr>
            </w:pPr>
            <w:r>
              <w:rPr>
                <w:rFonts w:hint="eastAsia" w:ascii="楷体" w:hAnsi="楷体" w:eastAsia="楷体" w:cs="楷体"/>
                <w:i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keepNext w:val="0"/>
              <w:keepLines w:val="0"/>
              <w:widowControl/>
              <w:suppressLineNumbers w:val="0"/>
              <w:jc w:val="center"/>
              <w:textAlignment w:val="center"/>
              <w:rPr>
                <w:rFonts w:hint="default"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51</w:t>
            </w:r>
          </w:p>
        </w:tc>
        <w:tc>
          <w:tcPr>
            <w:tcW w:w="6055" w:type="dxa"/>
            <w:vAlign w:val="center"/>
          </w:tcPr>
          <w:p>
            <w:pPr>
              <w:keepNext w:val="0"/>
              <w:keepLines w:val="0"/>
              <w:widowControl/>
              <w:suppressLineNumbers w:val="0"/>
              <w:jc w:val="left"/>
              <w:textAlignment w:val="center"/>
              <w:rPr>
                <w:rFonts w:hint="eastAsia"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综合性表演视角下高校舞蹈教学的创新实践研究</w:t>
            </w:r>
          </w:p>
        </w:tc>
        <w:tc>
          <w:tcPr>
            <w:tcW w:w="1050" w:type="dxa"/>
            <w:vAlign w:val="center"/>
          </w:tcPr>
          <w:p>
            <w:pPr>
              <w:keepNext w:val="0"/>
              <w:keepLines w:val="0"/>
              <w:widowControl/>
              <w:suppressLineNumbers w:val="0"/>
              <w:jc w:val="center"/>
              <w:textAlignment w:val="center"/>
              <w:rPr>
                <w:rFonts w:hint="eastAsia"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邓芳娟</w:t>
            </w:r>
          </w:p>
        </w:tc>
        <w:tc>
          <w:tcPr>
            <w:tcW w:w="1268" w:type="dxa"/>
            <w:vAlign w:val="center"/>
          </w:tcPr>
          <w:p>
            <w:pPr>
              <w:keepNext w:val="0"/>
              <w:keepLines w:val="0"/>
              <w:widowControl/>
              <w:suppressLineNumbers w:val="0"/>
              <w:jc w:val="center"/>
              <w:textAlignment w:val="center"/>
              <w:rPr>
                <w:rFonts w:hint="eastAsia" w:ascii="楷体" w:hAnsi="楷体" w:eastAsia="楷体" w:cs="楷体"/>
                <w:i w:val="0"/>
                <w:color w:val="000000"/>
                <w:kern w:val="2"/>
                <w:sz w:val="24"/>
                <w:szCs w:val="24"/>
                <w:u w:val="none"/>
                <w:lang w:val="en-US" w:eastAsia="zh-CN" w:bidi="ar-SA"/>
              </w:rPr>
            </w:pPr>
            <w:r>
              <w:rPr>
                <w:rFonts w:hint="eastAsia" w:ascii="楷体" w:hAnsi="楷体" w:eastAsia="楷体" w:cs="楷体"/>
                <w:i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jc w:val="center"/>
              <w:rPr>
                <w:rFonts w:hint="default" w:ascii="楷体" w:hAnsi="楷体" w:eastAsia="楷体" w:cs="楷体"/>
                <w:b w:val="0"/>
                <w:bCs w:val="0"/>
                <w:kern w:val="2"/>
                <w:sz w:val="24"/>
                <w:szCs w:val="24"/>
                <w:vertAlign w:val="baseline"/>
                <w:lang w:val="en-US" w:eastAsia="zh-CN" w:bidi="ar-SA"/>
              </w:rPr>
            </w:pPr>
            <w:r>
              <w:rPr>
                <w:rFonts w:hint="eastAsia" w:ascii="楷体" w:hAnsi="楷体" w:eastAsia="楷体" w:cs="楷体"/>
                <w:b w:val="0"/>
                <w:bCs w:val="0"/>
                <w:sz w:val="24"/>
                <w:szCs w:val="24"/>
                <w:vertAlign w:val="baseline"/>
                <w:lang w:val="en-US" w:eastAsia="zh-CN"/>
              </w:rPr>
              <w:t>52</w:t>
            </w:r>
          </w:p>
        </w:tc>
        <w:tc>
          <w:tcPr>
            <w:tcW w:w="6055" w:type="dxa"/>
            <w:vAlign w:val="center"/>
          </w:tcPr>
          <w:p>
            <w:pPr>
              <w:keepNext w:val="0"/>
              <w:keepLines w:val="0"/>
              <w:widowControl/>
              <w:suppressLineNumbers w:val="0"/>
              <w:jc w:val="left"/>
              <w:textAlignment w:val="center"/>
              <w:rPr>
                <w:rFonts w:hint="eastAsia" w:ascii="楷体" w:hAnsi="楷体" w:eastAsia="楷体" w:cs="楷体"/>
                <w:b w:val="0"/>
                <w:bCs w:val="0"/>
                <w:kern w:val="2"/>
                <w:sz w:val="24"/>
                <w:szCs w:val="24"/>
                <w:vertAlign w:val="baseline"/>
                <w:lang w:val="en-US" w:eastAsia="zh-CN" w:bidi="ar-SA"/>
              </w:rPr>
            </w:pPr>
            <w:r>
              <w:rPr>
                <w:rFonts w:hint="eastAsia" w:ascii="楷体" w:hAnsi="楷体" w:eastAsia="楷体" w:cs="楷体"/>
                <w:b w:val="0"/>
                <w:bCs w:val="0"/>
                <w:sz w:val="24"/>
                <w:szCs w:val="24"/>
                <w:vertAlign w:val="baseline"/>
                <w:lang w:val="en-US" w:eastAsia="zh-CN"/>
              </w:rPr>
              <w:t>高校深化新时代教育质量评价改革研究</w:t>
            </w:r>
          </w:p>
        </w:tc>
        <w:tc>
          <w:tcPr>
            <w:tcW w:w="1050" w:type="dxa"/>
            <w:vAlign w:val="center"/>
          </w:tcPr>
          <w:p>
            <w:pPr>
              <w:keepNext w:val="0"/>
              <w:keepLines w:val="0"/>
              <w:widowControl/>
              <w:suppressLineNumbers w:val="0"/>
              <w:jc w:val="center"/>
              <w:textAlignment w:val="center"/>
              <w:rPr>
                <w:rFonts w:hint="eastAsia" w:ascii="楷体" w:hAnsi="楷体" w:eastAsia="楷体" w:cs="楷体"/>
                <w:b w:val="0"/>
                <w:bCs w:val="0"/>
                <w:kern w:val="2"/>
                <w:sz w:val="24"/>
                <w:szCs w:val="24"/>
                <w:vertAlign w:val="baseline"/>
                <w:lang w:val="en-US" w:eastAsia="zh-CN" w:bidi="ar-SA"/>
              </w:rPr>
            </w:pPr>
            <w:r>
              <w:rPr>
                <w:rFonts w:hint="eastAsia" w:ascii="楷体" w:hAnsi="楷体" w:eastAsia="楷体" w:cs="楷体"/>
                <w:b w:val="0"/>
                <w:bCs w:val="0"/>
                <w:sz w:val="24"/>
                <w:szCs w:val="24"/>
                <w:vertAlign w:val="baseline"/>
                <w:lang w:val="en-US" w:eastAsia="zh-CN"/>
              </w:rPr>
              <w:t>张俭民</w:t>
            </w:r>
          </w:p>
        </w:tc>
        <w:tc>
          <w:tcPr>
            <w:tcW w:w="1268" w:type="dxa"/>
            <w:vAlign w:val="center"/>
          </w:tcPr>
          <w:p>
            <w:pPr>
              <w:keepNext w:val="0"/>
              <w:keepLines w:val="0"/>
              <w:widowControl/>
              <w:suppressLineNumbers w:val="0"/>
              <w:jc w:val="center"/>
              <w:textAlignment w:val="center"/>
              <w:rPr>
                <w:rFonts w:hint="eastAsia" w:ascii="楷体" w:hAnsi="楷体" w:eastAsia="楷体" w:cs="楷体"/>
                <w:b w:val="0"/>
                <w:bCs w:val="0"/>
                <w:kern w:val="2"/>
                <w:sz w:val="24"/>
                <w:szCs w:val="24"/>
                <w:vertAlign w:val="baseline"/>
                <w:lang w:val="en-US" w:eastAsia="zh-CN" w:bidi="ar-SA"/>
              </w:rPr>
            </w:pPr>
            <w:r>
              <w:rPr>
                <w:rFonts w:hint="eastAsia" w:ascii="楷体" w:hAnsi="楷体" w:eastAsia="楷体" w:cs="楷体"/>
                <w:b w:val="0"/>
                <w:bCs w:val="0"/>
                <w:sz w:val="24"/>
                <w:szCs w:val="24"/>
                <w:vertAlign w:val="baseline"/>
                <w:lang w:val="en-US" w:eastAsia="zh-CN"/>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jc w:val="center"/>
              <w:rPr>
                <w:rFonts w:hint="default" w:ascii="楷体" w:hAnsi="楷体" w:eastAsia="楷体" w:cs="楷体"/>
                <w:b w:val="0"/>
                <w:bCs w:val="0"/>
                <w:sz w:val="24"/>
                <w:szCs w:val="24"/>
                <w:vertAlign w:val="baseline"/>
                <w:lang w:val="en-US" w:eastAsia="zh-CN"/>
              </w:rPr>
            </w:pPr>
            <w:r>
              <w:rPr>
                <w:rFonts w:hint="eastAsia" w:ascii="楷体" w:hAnsi="楷体" w:eastAsia="楷体" w:cs="楷体"/>
                <w:b w:val="0"/>
                <w:bCs w:val="0"/>
                <w:sz w:val="24"/>
                <w:szCs w:val="24"/>
                <w:vertAlign w:val="baseline"/>
                <w:lang w:val="en-US" w:eastAsia="zh-CN"/>
              </w:rPr>
              <w:t>53</w:t>
            </w:r>
          </w:p>
        </w:tc>
        <w:tc>
          <w:tcPr>
            <w:tcW w:w="6055" w:type="dxa"/>
            <w:vAlign w:val="center"/>
          </w:tcPr>
          <w:p>
            <w:pPr>
              <w:keepNext w:val="0"/>
              <w:keepLines w:val="0"/>
              <w:widowControl/>
              <w:suppressLineNumbers w:val="0"/>
              <w:jc w:val="left"/>
              <w:textAlignment w:val="center"/>
              <w:rPr>
                <w:rFonts w:hint="eastAsia" w:ascii="楷体" w:hAnsi="楷体" w:eastAsia="楷体" w:cs="楷体"/>
                <w:b w:val="0"/>
                <w:bCs w:val="0"/>
                <w:sz w:val="24"/>
                <w:szCs w:val="24"/>
                <w:vertAlign w:val="baseline"/>
                <w:lang w:val="en-US" w:eastAsia="zh-CN"/>
              </w:rPr>
            </w:pPr>
            <w:r>
              <w:rPr>
                <w:rFonts w:hint="eastAsia" w:ascii="楷体" w:hAnsi="楷体" w:eastAsia="楷体" w:cs="楷体"/>
                <w:b w:val="0"/>
                <w:bCs w:val="0"/>
                <w:sz w:val="24"/>
                <w:szCs w:val="24"/>
                <w:vertAlign w:val="baseline"/>
                <w:lang w:val="en-US" w:eastAsia="zh-CN"/>
              </w:rPr>
              <w:t>高校加强和改进新时代学校体育教育研究</w:t>
            </w:r>
          </w:p>
        </w:tc>
        <w:tc>
          <w:tcPr>
            <w:tcW w:w="1050" w:type="dxa"/>
            <w:vAlign w:val="center"/>
          </w:tcPr>
          <w:p>
            <w:pPr>
              <w:keepNext w:val="0"/>
              <w:keepLines w:val="0"/>
              <w:widowControl/>
              <w:suppressLineNumbers w:val="0"/>
              <w:jc w:val="center"/>
              <w:textAlignment w:val="center"/>
              <w:rPr>
                <w:rFonts w:hint="eastAsia" w:ascii="楷体" w:hAnsi="楷体" w:eastAsia="楷体" w:cs="楷体"/>
                <w:b w:val="0"/>
                <w:bCs w:val="0"/>
                <w:sz w:val="24"/>
                <w:szCs w:val="24"/>
                <w:vertAlign w:val="baseline"/>
                <w:lang w:val="en-US" w:eastAsia="zh-CN"/>
              </w:rPr>
            </w:pPr>
            <w:r>
              <w:rPr>
                <w:rFonts w:hint="eastAsia" w:ascii="楷体" w:hAnsi="楷体" w:eastAsia="楷体" w:cs="楷体"/>
                <w:b w:val="0"/>
                <w:bCs w:val="0"/>
                <w:sz w:val="24"/>
                <w:szCs w:val="24"/>
                <w:vertAlign w:val="baseline"/>
                <w:lang w:val="en-US" w:eastAsia="zh-CN"/>
              </w:rPr>
              <w:t>谢  欢</w:t>
            </w:r>
          </w:p>
        </w:tc>
        <w:tc>
          <w:tcPr>
            <w:tcW w:w="1268" w:type="dxa"/>
            <w:vAlign w:val="center"/>
          </w:tcPr>
          <w:p>
            <w:pPr>
              <w:keepNext w:val="0"/>
              <w:keepLines w:val="0"/>
              <w:widowControl/>
              <w:suppressLineNumbers w:val="0"/>
              <w:jc w:val="center"/>
              <w:textAlignment w:val="center"/>
              <w:rPr>
                <w:rFonts w:hint="eastAsia" w:ascii="楷体" w:hAnsi="楷体" w:eastAsia="楷体" w:cs="楷体"/>
                <w:b w:val="0"/>
                <w:bCs w:val="0"/>
                <w:sz w:val="24"/>
                <w:szCs w:val="24"/>
                <w:vertAlign w:val="baseline"/>
                <w:lang w:val="en-US" w:eastAsia="zh-CN"/>
              </w:rPr>
            </w:pPr>
            <w:r>
              <w:rPr>
                <w:rFonts w:hint="eastAsia" w:ascii="楷体" w:hAnsi="楷体" w:eastAsia="楷体" w:cs="楷体"/>
                <w:b w:val="0"/>
                <w:bCs w:val="0"/>
                <w:sz w:val="24"/>
                <w:szCs w:val="24"/>
                <w:vertAlign w:val="baseline"/>
                <w:lang w:val="en-US" w:eastAsia="zh-CN"/>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77" w:type="dxa"/>
            <w:vAlign w:val="center"/>
          </w:tcPr>
          <w:p>
            <w:pPr>
              <w:jc w:val="center"/>
              <w:rPr>
                <w:rFonts w:hint="default" w:ascii="楷体" w:hAnsi="楷体" w:eastAsia="楷体" w:cs="楷体"/>
                <w:b w:val="0"/>
                <w:bCs w:val="0"/>
                <w:sz w:val="24"/>
                <w:szCs w:val="24"/>
                <w:vertAlign w:val="baseline"/>
                <w:lang w:val="en-US" w:eastAsia="zh-CN"/>
              </w:rPr>
            </w:pPr>
            <w:r>
              <w:rPr>
                <w:rFonts w:hint="eastAsia" w:ascii="楷体" w:hAnsi="楷体" w:eastAsia="楷体" w:cs="楷体"/>
                <w:b w:val="0"/>
                <w:bCs w:val="0"/>
                <w:sz w:val="24"/>
                <w:szCs w:val="24"/>
                <w:vertAlign w:val="baseline"/>
                <w:lang w:val="en-US" w:eastAsia="zh-CN"/>
              </w:rPr>
              <w:t>54</w:t>
            </w:r>
          </w:p>
        </w:tc>
        <w:tc>
          <w:tcPr>
            <w:tcW w:w="6055" w:type="dxa"/>
            <w:vAlign w:val="center"/>
          </w:tcPr>
          <w:p>
            <w:pPr>
              <w:keepNext w:val="0"/>
              <w:keepLines w:val="0"/>
              <w:widowControl/>
              <w:suppressLineNumbers w:val="0"/>
              <w:jc w:val="left"/>
              <w:textAlignment w:val="center"/>
              <w:rPr>
                <w:rFonts w:hint="eastAsia" w:ascii="楷体" w:hAnsi="楷体" w:eastAsia="楷体" w:cs="楷体"/>
                <w:b w:val="0"/>
                <w:bCs w:val="0"/>
                <w:sz w:val="24"/>
                <w:szCs w:val="24"/>
                <w:vertAlign w:val="baseline"/>
                <w:lang w:val="en-US" w:eastAsia="zh-CN"/>
              </w:rPr>
            </w:pPr>
            <w:r>
              <w:rPr>
                <w:rFonts w:hint="eastAsia" w:ascii="楷体" w:hAnsi="楷体" w:eastAsia="楷体" w:cs="楷体"/>
                <w:b w:val="0"/>
                <w:bCs w:val="0"/>
                <w:sz w:val="24"/>
                <w:szCs w:val="24"/>
                <w:vertAlign w:val="baseline"/>
                <w:lang w:val="en-US" w:eastAsia="zh-CN"/>
              </w:rPr>
              <w:t>高校加强和改进新时代学校美育教育研究</w:t>
            </w:r>
          </w:p>
        </w:tc>
        <w:tc>
          <w:tcPr>
            <w:tcW w:w="1050" w:type="dxa"/>
            <w:vAlign w:val="center"/>
          </w:tcPr>
          <w:p>
            <w:pPr>
              <w:keepNext w:val="0"/>
              <w:keepLines w:val="0"/>
              <w:widowControl/>
              <w:suppressLineNumbers w:val="0"/>
              <w:jc w:val="center"/>
              <w:textAlignment w:val="center"/>
              <w:rPr>
                <w:rFonts w:hint="eastAsia" w:ascii="楷体" w:hAnsi="楷体" w:eastAsia="楷体" w:cs="楷体"/>
                <w:b w:val="0"/>
                <w:bCs w:val="0"/>
                <w:sz w:val="24"/>
                <w:szCs w:val="24"/>
                <w:vertAlign w:val="baseline"/>
                <w:lang w:val="en-US" w:eastAsia="zh-CN"/>
              </w:rPr>
            </w:pPr>
            <w:r>
              <w:rPr>
                <w:rFonts w:hint="eastAsia" w:ascii="楷体" w:hAnsi="楷体" w:eastAsia="楷体" w:cs="楷体"/>
                <w:b w:val="0"/>
                <w:bCs w:val="0"/>
                <w:sz w:val="24"/>
                <w:szCs w:val="24"/>
                <w:vertAlign w:val="baseline"/>
                <w:lang w:val="en-US" w:eastAsia="zh-CN"/>
              </w:rPr>
              <w:t>张建利</w:t>
            </w:r>
          </w:p>
        </w:tc>
        <w:tc>
          <w:tcPr>
            <w:tcW w:w="1268" w:type="dxa"/>
            <w:vAlign w:val="center"/>
          </w:tcPr>
          <w:p>
            <w:pPr>
              <w:keepNext w:val="0"/>
              <w:keepLines w:val="0"/>
              <w:widowControl/>
              <w:suppressLineNumbers w:val="0"/>
              <w:jc w:val="center"/>
              <w:textAlignment w:val="center"/>
              <w:rPr>
                <w:rFonts w:hint="eastAsia" w:ascii="楷体" w:hAnsi="楷体" w:eastAsia="楷体" w:cs="楷体"/>
                <w:b w:val="0"/>
                <w:bCs w:val="0"/>
                <w:sz w:val="24"/>
                <w:szCs w:val="24"/>
                <w:vertAlign w:val="baseline"/>
                <w:lang w:val="en-US" w:eastAsia="zh-CN"/>
              </w:rPr>
            </w:pPr>
            <w:r>
              <w:rPr>
                <w:rFonts w:hint="eastAsia" w:ascii="楷体" w:hAnsi="楷体" w:eastAsia="楷体" w:cs="楷体"/>
                <w:b w:val="0"/>
                <w:bCs w:val="0"/>
                <w:sz w:val="24"/>
                <w:szCs w:val="24"/>
                <w:vertAlign w:val="baseline"/>
                <w:lang w:val="en-US" w:eastAsia="zh-CN"/>
              </w:rPr>
              <w:t>重点项目</w:t>
            </w:r>
          </w:p>
        </w:tc>
      </w:tr>
    </w:tbl>
    <w:p>
      <w:pPr>
        <w:jc w:val="center"/>
        <w:rPr>
          <w:rFonts w:hint="eastAsia" w:ascii="楷体" w:hAnsi="楷体" w:eastAsia="楷体" w:cs="楷体"/>
          <w:b/>
          <w:bCs/>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D60BCF"/>
    <w:rsid w:val="07E453A7"/>
    <w:rsid w:val="0B386C81"/>
    <w:rsid w:val="18D60BCF"/>
    <w:rsid w:val="1AAD4DB9"/>
    <w:rsid w:val="1AD47E4B"/>
    <w:rsid w:val="1BE57761"/>
    <w:rsid w:val="26946853"/>
    <w:rsid w:val="272C0690"/>
    <w:rsid w:val="36B90527"/>
    <w:rsid w:val="38B80182"/>
    <w:rsid w:val="42FC618D"/>
    <w:rsid w:val="44E87330"/>
    <w:rsid w:val="46331F2D"/>
    <w:rsid w:val="5493372A"/>
    <w:rsid w:val="5A104DB5"/>
    <w:rsid w:val="6C555BCC"/>
    <w:rsid w:val="71F35B67"/>
    <w:rsid w:val="729D17D3"/>
    <w:rsid w:val="7595117D"/>
    <w:rsid w:val="78E45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next w:val="1"/>
    <w:qFormat/>
    <w:uiPriority w:val="0"/>
    <w:pPr>
      <w:widowControl/>
      <w:ind w:firstLine="420"/>
    </w:pPr>
    <w:rPr>
      <w:rFonts w:ascii="Times New Roman" w:eastAsia="宋体"/>
      <w:color w:val="000000"/>
      <w:sz w:val="21"/>
      <w:szCs w:val="20"/>
    </w:rPr>
  </w:style>
  <w:style w:type="paragraph" w:styleId="3">
    <w:name w:val="Normal (Web)"/>
    <w:basedOn w:val="1"/>
    <w:qFormat/>
    <w:uiPriority w:val="0"/>
    <w:pPr>
      <w:spacing w:beforeAutospacing="1" w:afterAutospacing="1"/>
      <w:jc w:val="left"/>
    </w:pPr>
    <w:rPr>
      <w:rFonts w:cs="Times New Roman"/>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2021-06-01T01:23:00Z</dcterms:created>
  <dc:creator>Administrator</dc:creator>
  <cp:lastModifiedBy>Administrator</cp:lastModifiedBy>
  <cp:lastPrinted>2021-06-01T02:57:00Z</cp:lastPrinted>
  <dcterms:modified xsi:type="dcterms:W3CDTF">2021-06-01T07:18:11Z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E5D4ED49FB5B4158905D556E282ABEF5</vt:lpwstr>
  </property>
</Properties>
</file>